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D86DF5">
        <w:rPr>
          <w:rFonts w:ascii="Arial" w:hAnsi="Arial" w:cs="Arial"/>
          <w:b/>
          <w:bCs/>
          <w:sz w:val="24"/>
          <w:szCs w:val="24"/>
        </w:rPr>
        <w:t xml:space="preserve">  174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96DB4">
        <w:rPr>
          <w:rFonts w:ascii="Arial" w:hAnsi="Arial" w:cs="Arial"/>
          <w:b/>
          <w:bCs/>
          <w:sz w:val="24"/>
          <w:szCs w:val="24"/>
        </w:rPr>
        <w:t>12 de agosto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3E21A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3E21AF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3E21AF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E21AF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3E21AF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3E21AF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12372A" w:rsidRPr="0012372A">
        <w:rPr>
          <w:rFonts w:ascii="Arial" w:eastAsia="Arial" w:hAnsi="Arial" w:cs="Arial"/>
          <w:color w:val="000000"/>
          <w:sz w:val="24"/>
          <w:szCs w:val="24"/>
        </w:rPr>
        <w:t>que seja realizada extensão da rede elétrica na Rua Minas Gerais, no bairro Tangará, nas proximidades dos números 140 e 468.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12372A" w:rsidRPr="0012372A" w:rsidRDefault="009B648A" w:rsidP="0012372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796DB4">
        <w:rPr>
          <w:rFonts w:ascii="Arial" w:hAnsi="Arial" w:cs="Arial"/>
          <w:sz w:val="24"/>
          <w:szCs w:val="24"/>
        </w:rPr>
        <w:t xml:space="preserve"> </w:t>
      </w:r>
      <w:r w:rsidR="005D2238" w:rsidRPr="005D2238">
        <w:t xml:space="preserve"> </w:t>
      </w:r>
      <w:r w:rsidR="0012372A">
        <w:rPr>
          <w:rFonts w:ascii="Arial" w:hAnsi="Arial" w:cs="Arial"/>
          <w:sz w:val="24"/>
          <w:szCs w:val="24"/>
        </w:rPr>
        <w:t xml:space="preserve"> </w:t>
      </w:r>
      <w:r w:rsidR="003E21AF">
        <w:rPr>
          <w:rFonts w:ascii="Arial" w:hAnsi="Arial" w:cs="Arial"/>
          <w:sz w:val="24"/>
          <w:szCs w:val="24"/>
        </w:rPr>
        <w:t xml:space="preserve"> </w:t>
      </w:r>
      <w:r w:rsidR="0012372A" w:rsidRPr="0012372A">
        <w:rPr>
          <w:rFonts w:ascii="Arial" w:hAnsi="Arial" w:cs="Arial"/>
          <w:sz w:val="24"/>
          <w:szCs w:val="24"/>
        </w:rPr>
        <w:t>A referida rua possui trechos que necessitam de extensão da rede elétrica. Nas proximidades do número 140, esquina com a Rua Cuiabá, é necessária a instalação de um poste, pois o local permanece muito escuro durante a noite, gerando sensação de</w:t>
      </w:r>
      <w:r w:rsidR="0012372A">
        <w:rPr>
          <w:rFonts w:ascii="Arial" w:hAnsi="Arial" w:cs="Arial"/>
          <w:sz w:val="24"/>
          <w:szCs w:val="24"/>
        </w:rPr>
        <w:t xml:space="preserve"> insegurança para os moradores.</w:t>
      </w:r>
    </w:p>
    <w:p w:rsidR="007F4408" w:rsidRPr="000E3B7E" w:rsidRDefault="0012372A" w:rsidP="0012372A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12372A">
        <w:rPr>
          <w:rFonts w:ascii="Arial" w:hAnsi="Arial" w:cs="Arial"/>
          <w:sz w:val="24"/>
          <w:szCs w:val="24"/>
        </w:rPr>
        <w:t>Já nas imediações do número 468, também na Rua Minas Gerais, é necessária a instalação de dois postes, visto que a área possui densa vegetação e apresenta pouca iluminação, o que causa receio e insegurança entre os moradores.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12372A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F5" w:rsidRDefault="00C90BF5" w:rsidP="00CC50AD">
      <w:pPr>
        <w:spacing w:after="0" w:line="240" w:lineRule="auto"/>
      </w:pPr>
      <w:r>
        <w:separator/>
      </w:r>
    </w:p>
  </w:endnote>
  <w:endnote w:type="continuationSeparator" w:id="0">
    <w:p w:rsidR="00C90BF5" w:rsidRDefault="00C90BF5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F5" w:rsidRDefault="00C90BF5" w:rsidP="00CC50AD">
      <w:pPr>
        <w:spacing w:after="0" w:line="240" w:lineRule="auto"/>
      </w:pPr>
      <w:r>
        <w:separator/>
      </w:r>
    </w:p>
  </w:footnote>
  <w:footnote w:type="continuationSeparator" w:id="0">
    <w:p w:rsidR="00C90BF5" w:rsidRDefault="00C90BF5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72A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1AF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4A1A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AF644E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0BF5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86DF5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A4B7B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2B33B-51EA-45AE-8E90-145B920E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27</cp:revision>
  <cp:lastPrinted>2025-01-06T14:33:00Z</cp:lastPrinted>
  <dcterms:created xsi:type="dcterms:W3CDTF">2025-01-02T16:18:00Z</dcterms:created>
  <dcterms:modified xsi:type="dcterms:W3CDTF">2025-08-08T19:26:00Z</dcterms:modified>
</cp:coreProperties>
</file>